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B5A7" w14:textId="6C9C0EC4" w:rsidR="00137586" w:rsidRDefault="00137586" w:rsidP="00137586">
      <w:pPr>
        <w:pStyle w:val="Paragraphedeliste"/>
        <w:spacing w:line="48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6A6CD2A" wp14:editId="31C5B08C">
            <wp:simplePos x="0" y="0"/>
            <wp:positionH relativeFrom="column">
              <wp:posOffset>5321300</wp:posOffset>
            </wp:positionH>
            <wp:positionV relativeFrom="paragraph">
              <wp:posOffset>0</wp:posOffset>
            </wp:positionV>
            <wp:extent cx="1609725" cy="2133600"/>
            <wp:effectExtent l="0" t="0" r="9525" b="0"/>
            <wp:wrapThrough wrapText="bothSides">
              <wp:wrapPolygon edited="0">
                <wp:start x="0" y="0"/>
                <wp:lineTo x="0" y="21407"/>
                <wp:lineTo x="21472" y="21407"/>
                <wp:lineTo x="21472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50B4">
        <w:rPr>
          <w:b/>
          <w:sz w:val="36"/>
          <w:szCs w:val="36"/>
        </w:rPr>
        <w:t>Situation de l’intégration de la PF aux services de TAR</w:t>
      </w:r>
      <w:r>
        <w:rPr>
          <w:b/>
          <w:sz w:val="36"/>
          <w:szCs w:val="36"/>
        </w:rPr>
        <w:t>V</w:t>
      </w:r>
      <w:r w:rsidRPr="002150B4">
        <w:rPr>
          <w:b/>
          <w:sz w:val="36"/>
          <w:szCs w:val="36"/>
        </w:rPr>
        <w:t xml:space="preserve"> au Sénégal</w:t>
      </w:r>
    </w:p>
    <w:p w14:paraId="64798927" w14:textId="77777777" w:rsidR="00137586" w:rsidRDefault="00137586" w:rsidP="00137586">
      <w:pPr>
        <w:pStyle w:val="Paragraphedeliste"/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Point de vue de Soukeye Ndiaye</w:t>
      </w:r>
    </w:p>
    <w:p w14:paraId="258F93EE" w14:textId="77777777" w:rsidR="00137586" w:rsidRDefault="00137586" w:rsidP="00137586">
      <w:pPr>
        <w:pStyle w:val="Paragraphedeliste"/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Présidente RNP+</w:t>
      </w:r>
    </w:p>
    <w:p w14:paraId="386219AF" w14:textId="77777777" w:rsidR="00137586" w:rsidRDefault="00137586" w:rsidP="00137586">
      <w:pPr>
        <w:pStyle w:val="Paragraphedeliste"/>
        <w:ind w:left="1276"/>
        <w:jc w:val="center"/>
        <w:sectPr w:rsidR="00137586" w:rsidSect="00B77F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142" w:header="708" w:footer="708" w:gutter="0"/>
          <w:cols w:space="1702"/>
          <w:docGrid w:linePitch="360"/>
        </w:sectPr>
      </w:pPr>
    </w:p>
    <w:p w14:paraId="1A19D23B" w14:textId="52A059A6" w:rsidR="00E77F0B" w:rsidRDefault="00E77F0B" w:rsidP="00137586">
      <w:pPr>
        <w:pStyle w:val="Paragraphedeliste"/>
        <w:ind w:left="1276"/>
        <w:jc w:val="center"/>
      </w:pPr>
    </w:p>
    <w:p w14:paraId="58FF213D" w14:textId="77777777" w:rsidR="00137586" w:rsidRDefault="00137586" w:rsidP="006265C2">
      <w:pPr>
        <w:rPr>
          <w:b/>
          <w:sz w:val="28"/>
          <w:szCs w:val="28"/>
        </w:rPr>
        <w:sectPr w:rsidR="00137586" w:rsidSect="00B77FF5">
          <w:type w:val="continuous"/>
          <w:pgSz w:w="11906" w:h="16838"/>
          <w:pgMar w:top="720" w:right="720" w:bottom="720" w:left="142" w:header="708" w:footer="708" w:gutter="0"/>
          <w:cols w:num="2" w:space="1702"/>
          <w:docGrid w:linePitch="360"/>
        </w:sectPr>
      </w:pPr>
    </w:p>
    <w:p w14:paraId="28D05FBD" w14:textId="366B604A" w:rsidR="00AE5E06" w:rsidRPr="006265C2" w:rsidRDefault="00AE5E06" w:rsidP="006265C2">
      <w:pPr>
        <w:rPr>
          <w:b/>
          <w:sz w:val="28"/>
          <w:szCs w:val="28"/>
        </w:rPr>
      </w:pPr>
      <w:r w:rsidRPr="006265C2">
        <w:rPr>
          <w:b/>
          <w:sz w:val="28"/>
          <w:szCs w:val="28"/>
        </w:rPr>
        <w:t>Introduction</w:t>
      </w:r>
    </w:p>
    <w:p w14:paraId="3A427670" w14:textId="56270A1D" w:rsidR="007061FF" w:rsidRDefault="007061FF" w:rsidP="00D378A1">
      <w:pPr>
        <w:jc w:val="both"/>
      </w:pPr>
      <w:r>
        <w:t xml:space="preserve">L’accès à la planification familiale est </w:t>
      </w:r>
      <w:r w:rsidR="00137586">
        <w:t>considéré</w:t>
      </w:r>
      <w:r w:rsidR="006265C2">
        <w:t xml:space="preserve"> </w:t>
      </w:r>
      <w:r>
        <w:t>comme faisant partie des droits de l’homme.</w:t>
      </w:r>
      <w:r w:rsidR="005A1D5F">
        <w:t xml:space="preserve"> Les clientes des services PF ont </w:t>
      </w:r>
    </w:p>
    <w:p w14:paraId="62CFE78D" w14:textId="77777777" w:rsidR="00137586" w:rsidRDefault="00137586" w:rsidP="00D378A1">
      <w:pPr>
        <w:pStyle w:val="Paragraphedeliste"/>
        <w:numPr>
          <w:ilvl w:val="0"/>
          <w:numId w:val="13"/>
        </w:numPr>
        <w:jc w:val="both"/>
        <w:rPr>
          <w:bCs/>
        </w:rPr>
        <w:sectPr w:rsidR="00137586" w:rsidSect="00B77FF5">
          <w:type w:val="continuous"/>
          <w:pgSz w:w="11906" w:h="16838"/>
          <w:pgMar w:top="720" w:right="720" w:bottom="720" w:left="142" w:header="708" w:footer="708" w:gutter="0"/>
          <w:cols w:space="708"/>
          <w:docGrid w:linePitch="360"/>
        </w:sectPr>
      </w:pPr>
    </w:p>
    <w:p w14:paraId="22C672E4" w14:textId="08C759E2" w:rsidR="005A1D5F" w:rsidRPr="006265C2" w:rsidRDefault="005A1D5F" w:rsidP="00137586">
      <w:pPr>
        <w:pStyle w:val="Paragraphedeliste"/>
        <w:numPr>
          <w:ilvl w:val="0"/>
          <w:numId w:val="13"/>
        </w:numPr>
        <w:spacing w:line="480" w:lineRule="auto"/>
        <w:jc w:val="both"/>
      </w:pPr>
      <w:r w:rsidRPr="006265C2">
        <w:rPr>
          <w:bCs/>
        </w:rPr>
        <w:t>Droit à l’information</w:t>
      </w:r>
    </w:p>
    <w:p w14:paraId="32326441" w14:textId="77777777" w:rsidR="005A1D5F" w:rsidRPr="006265C2" w:rsidRDefault="005A1D5F" w:rsidP="00137586">
      <w:pPr>
        <w:pStyle w:val="Paragraphedeliste"/>
        <w:numPr>
          <w:ilvl w:val="0"/>
          <w:numId w:val="13"/>
        </w:numPr>
        <w:spacing w:line="480" w:lineRule="auto"/>
        <w:jc w:val="both"/>
      </w:pPr>
      <w:r w:rsidRPr="006265C2">
        <w:rPr>
          <w:bCs/>
        </w:rPr>
        <w:t>Droit à l’accès aux services</w:t>
      </w:r>
    </w:p>
    <w:p w14:paraId="523CD9C5" w14:textId="77777777" w:rsidR="005A1D5F" w:rsidRPr="006265C2" w:rsidRDefault="005A1D5F" w:rsidP="00137586">
      <w:pPr>
        <w:pStyle w:val="Paragraphedeliste"/>
        <w:numPr>
          <w:ilvl w:val="0"/>
          <w:numId w:val="13"/>
        </w:numPr>
        <w:spacing w:line="480" w:lineRule="auto"/>
        <w:jc w:val="both"/>
      </w:pPr>
      <w:r w:rsidRPr="006265C2">
        <w:rPr>
          <w:bCs/>
        </w:rPr>
        <w:t>Droit au choix</w:t>
      </w:r>
    </w:p>
    <w:p w14:paraId="037B3156" w14:textId="77777777" w:rsidR="005A1D5F" w:rsidRPr="006265C2" w:rsidRDefault="005A1D5F" w:rsidP="00137586">
      <w:pPr>
        <w:pStyle w:val="Paragraphedeliste"/>
        <w:numPr>
          <w:ilvl w:val="0"/>
          <w:numId w:val="13"/>
        </w:numPr>
        <w:spacing w:line="480" w:lineRule="auto"/>
        <w:jc w:val="both"/>
      </w:pPr>
      <w:r w:rsidRPr="006265C2">
        <w:rPr>
          <w:bCs/>
        </w:rPr>
        <w:t>Droit à la sécurité</w:t>
      </w:r>
    </w:p>
    <w:p w14:paraId="282070C2" w14:textId="77777777" w:rsidR="005A1D5F" w:rsidRPr="006265C2" w:rsidRDefault="005A1D5F" w:rsidP="00137586">
      <w:pPr>
        <w:pStyle w:val="Paragraphedeliste"/>
        <w:numPr>
          <w:ilvl w:val="0"/>
          <w:numId w:val="13"/>
        </w:numPr>
        <w:spacing w:line="480" w:lineRule="auto"/>
        <w:jc w:val="both"/>
      </w:pPr>
      <w:r w:rsidRPr="006265C2">
        <w:rPr>
          <w:bCs/>
        </w:rPr>
        <w:t xml:space="preserve">Droit à l’intimité </w:t>
      </w:r>
    </w:p>
    <w:p w14:paraId="7F928502" w14:textId="77777777" w:rsidR="005A1D5F" w:rsidRPr="006265C2" w:rsidRDefault="005A1D5F" w:rsidP="00137586">
      <w:pPr>
        <w:pStyle w:val="Paragraphedeliste"/>
        <w:numPr>
          <w:ilvl w:val="0"/>
          <w:numId w:val="13"/>
        </w:numPr>
        <w:spacing w:line="480" w:lineRule="auto"/>
        <w:jc w:val="both"/>
      </w:pPr>
      <w:r w:rsidRPr="006265C2">
        <w:rPr>
          <w:bCs/>
        </w:rPr>
        <w:t xml:space="preserve"> Droit à la confidentialité</w:t>
      </w:r>
    </w:p>
    <w:p w14:paraId="3305A952" w14:textId="77777777" w:rsidR="005A1D5F" w:rsidRPr="006265C2" w:rsidRDefault="005A1D5F" w:rsidP="00137586">
      <w:pPr>
        <w:pStyle w:val="Paragraphedeliste"/>
        <w:numPr>
          <w:ilvl w:val="0"/>
          <w:numId w:val="13"/>
        </w:numPr>
        <w:spacing w:line="480" w:lineRule="auto"/>
        <w:jc w:val="both"/>
      </w:pPr>
      <w:r w:rsidRPr="006265C2">
        <w:rPr>
          <w:bCs/>
        </w:rPr>
        <w:t xml:space="preserve"> Droit à la dignité, </w:t>
      </w:r>
    </w:p>
    <w:p w14:paraId="7B3D718C" w14:textId="77777777" w:rsidR="005A1D5F" w:rsidRPr="006265C2" w:rsidRDefault="005A1D5F" w:rsidP="00137586">
      <w:pPr>
        <w:pStyle w:val="Paragraphedeliste"/>
        <w:numPr>
          <w:ilvl w:val="0"/>
          <w:numId w:val="13"/>
        </w:numPr>
        <w:spacing w:line="480" w:lineRule="auto"/>
        <w:jc w:val="both"/>
      </w:pPr>
      <w:r w:rsidRPr="006265C2">
        <w:rPr>
          <w:bCs/>
        </w:rPr>
        <w:t xml:space="preserve"> Droit d’opinion </w:t>
      </w:r>
    </w:p>
    <w:p w14:paraId="7F3A01FD" w14:textId="77777777" w:rsidR="005A1D5F" w:rsidRPr="006265C2" w:rsidRDefault="005A1D5F" w:rsidP="00137586">
      <w:pPr>
        <w:pStyle w:val="Paragraphedeliste"/>
        <w:numPr>
          <w:ilvl w:val="0"/>
          <w:numId w:val="13"/>
        </w:numPr>
        <w:spacing w:line="480" w:lineRule="auto"/>
        <w:jc w:val="both"/>
      </w:pPr>
      <w:r w:rsidRPr="006265C2">
        <w:rPr>
          <w:bCs/>
        </w:rPr>
        <w:t>Droit au confort</w:t>
      </w:r>
    </w:p>
    <w:p w14:paraId="6A0306F4" w14:textId="0E5E40B8" w:rsidR="00AE5E06" w:rsidRPr="006265C2" w:rsidRDefault="005A1D5F" w:rsidP="00137586">
      <w:pPr>
        <w:pStyle w:val="Paragraphedeliste"/>
        <w:numPr>
          <w:ilvl w:val="0"/>
          <w:numId w:val="13"/>
        </w:numPr>
        <w:spacing w:line="480" w:lineRule="auto"/>
        <w:jc w:val="both"/>
      </w:pPr>
      <w:r w:rsidRPr="006265C2">
        <w:rPr>
          <w:bCs/>
        </w:rPr>
        <w:t>Droit à la continuité</w:t>
      </w:r>
    </w:p>
    <w:p w14:paraId="6E4B3BA7" w14:textId="77777777" w:rsidR="00137586" w:rsidRDefault="00137586" w:rsidP="006265C2">
      <w:pPr>
        <w:ind w:left="284"/>
        <w:sectPr w:rsidR="00137586" w:rsidSect="00B77FF5">
          <w:type w:val="continuous"/>
          <w:pgSz w:w="11906" w:h="16838"/>
          <w:pgMar w:top="720" w:right="720" w:bottom="720" w:left="142" w:header="708" w:footer="708" w:gutter="0"/>
          <w:cols w:num="2" w:space="708"/>
          <w:docGrid w:linePitch="360"/>
        </w:sectPr>
      </w:pPr>
    </w:p>
    <w:p w14:paraId="50E59D19" w14:textId="5CF2EBC1" w:rsidR="006265C2" w:rsidRPr="006265C2" w:rsidRDefault="006265C2" w:rsidP="006265C2">
      <w:pPr>
        <w:ind w:left="284"/>
      </w:pPr>
    </w:p>
    <w:p w14:paraId="0206F01D" w14:textId="32BBDA12" w:rsidR="005A1D5F" w:rsidRDefault="00AE5E06" w:rsidP="007061FF">
      <w:pPr>
        <w:rPr>
          <w:b/>
          <w:sz w:val="28"/>
          <w:szCs w:val="28"/>
        </w:rPr>
      </w:pPr>
      <w:r w:rsidRPr="006265C2">
        <w:rPr>
          <w:b/>
          <w:sz w:val="28"/>
          <w:szCs w:val="28"/>
        </w:rPr>
        <w:t>Contexte</w:t>
      </w:r>
    </w:p>
    <w:p w14:paraId="6BA9AEB7" w14:textId="77777777" w:rsidR="00137586" w:rsidRPr="006265C2" w:rsidRDefault="00137586" w:rsidP="00137586">
      <w:pPr>
        <w:rPr>
          <w:sz w:val="28"/>
          <w:szCs w:val="28"/>
        </w:rPr>
      </w:pPr>
    </w:p>
    <w:p w14:paraId="5F363737" w14:textId="19291DF3" w:rsidR="00B65066" w:rsidRDefault="008445E8" w:rsidP="00D378A1">
      <w:pPr>
        <w:jc w:val="both"/>
      </w:pPr>
      <w:r>
        <w:t xml:space="preserve">Au Sénégal, l’offre de service PF existe dans tous les points de prestation de service (Hôpitaux, centres de santé et postes de santé) et même au niveau communautaire </w:t>
      </w:r>
      <w:r w:rsidR="00D41FFB">
        <w:t>(sauf</w:t>
      </w:r>
      <w:r>
        <w:t xml:space="preserve"> implants, </w:t>
      </w:r>
      <w:r w:rsidR="000027B2">
        <w:t xml:space="preserve">la contraception d’urgence, </w:t>
      </w:r>
      <w:r>
        <w:t>DIU et méthodes chirurgicales)</w:t>
      </w:r>
      <w:r w:rsidR="00D41FFB">
        <w:t>.</w:t>
      </w:r>
    </w:p>
    <w:p w14:paraId="596EBD28" w14:textId="0D8F05BE" w:rsidR="00AE5E06" w:rsidRDefault="00AE5E06" w:rsidP="00D378A1">
      <w:pPr>
        <w:jc w:val="both"/>
      </w:pPr>
      <w:r>
        <w:t>Il existe cependant des obstacles liés aux barrières socio culturelles et religieuses entravant l’accès aux services de PF des femmes plus particulièrement chez celles vivant avec le VIH.</w:t>
      </w:r>
    </w:p>
    <w:p w14:paraId="42DC0E95" w14:textId="1B798531" w:rsidR="00AE5E06" w:rsidRDefault="00AE5E06" w:rsidP="00D378A1">
      <w:pPr>
        <w:jc w:val="both"/>
      </w:pPr>
      <w:r>
        <w:t>Cependant, le RNP+ a réalisé des missions de plaidoyers dans les 14 régions du Sénégal à l’endroit des religieux, des communautaires, des élus locaux</w:t>
      </w:r>
      <w:r w:rsidR="00367490">
        <w:t>, des femmes vivant avec le VIH et leurs familles, des</w:t>
      </w:r>
      <w:r>
        <w:t xml:space="preserve"> prestataires</w:t>
      </w:r>
      <w:r w:rsidR="00367490">
        <w:t xml:space="preserve"> de soin</w:t>
      </w:r>
      <w:r>
        <w:t xml:space="preserve"> pour </w:t>
      </w:r>
      <w:r w:rsidR="00367490">
        <w:t>sensibiliser ces derniers sur l’importance et les avantages de l’adhésion ainsi que la disponibilité de l’offre</w:t>
      </w:r>
      <w:r w:rsidR="00710155">
        <w:t xml:space="preserve">, tout en </w:t>
      </w:r>
      <w:r w:rsidR="0033713C">
        <w:t>fournissant</w:t>
      </w:r>
      <w:r w:rsidR="00710155">
        <w:t xml:space="preserve"> un effort particulier de corriger les </w:t>
      </w:r>
      <w:r w:rsidR="00332D54">
        <w:t>fausses croyances</w:t>
      </w:r>
      <w:r w:rsidR="00710155">
        <w:t xml:space="preserve"> en rapport avec l’usage the méthodes contraceptives.</w:t>
      </w:r>
    </w:p>
    <w:p w14:paraId="31B07DE6" w14:textId="392B0B47" w:rsidR="00367490" w:rsidRDefault="00367490" w:rsidP="00D378A1">
      <w:pPr>
        <w:jc w:val="both"/>
      </w:pPr>
      <w:r>
        <w:t>De pl</w:t>
      </w:r>
      <w:r w:rsidR="00916853">
        <w:t>us, l’atelier du réseau CQUIN sur la</w:t>
      </w:r>
      <w:r>
        <w:t xml:space="preserve"> S</w:t>
      </w:r>
      <w:r w:rsidR="00916853">
        <w:t xml:space="preserve">anté </w:t>
      </w:r>
      <w:r>
        <w:t>M</w:t>
      </w:r>
      <w:r w:rsidR="00916853">
        <w:t>aternelle et infantile</w:t>
      </w:r>
      <w:r>
        <w:t> </w:t>
      </w:r>
      <w:r w:rsidR="00EB3889">
        <w:t xml:space="preserve">nous a permis </w:t>
      </w:r>
      <w:r w:rsidR="000F1D99">
        <w:t xml:space="preserve">d’enrichir notre expérience sur la PF en apprenant sur d’autres pays. </w:t>
      </w:r>
    </w:p>
    <w:p w14:paraId="03D31045" w14:textId="5323D05A" w:rsidR="00EB3889" w:rsidRDefault="00EB3889" w:rsidP="00E77F0B"/>
    <w:p w14:paraId="1FFCE9C2" w14:textId="67A09BF0" w:rsidR="00EB3889" w:rsidRDefault="00EB3889" w:rsidP="006265C2">
      <w:pPr>
        <w:rPr>
          <w:b/>
          <w:sz w:val="28"/>
          <w:szCs w:val="28"/>
        </w:rPr>
      </w:pPr>
      <w:r w:rsidRPr="006265C2">
        <w:rPr>
          <w:b/>
          <w:sz w:val="28"/>
          <w:szCs w:val="28"/>
        </w:rPr>
        <w:t>Situation actuelle de la PF au Sénégal</w:t>
      </w:r>
    </w:p>
    <w:p w14:paraId="178B30F7" w14:textId="77777777" w:rsidR="00137586" w:rsidRPr="006265C2" w:rsidRDefault="00137586" w:rsidP="006265C2">
      <w:pPr>
        <w:rPr>
          <w:b/>
          <w:sz w:val="28"/>
          <w:szCs w:val="28"/>
        </w:rPr>
      </w:pPr>
    </w:p>
    <w:p w14:paraId="3DF1190B" w14:textId="77777777" w:rsidR="0044493F" w:rsidRDefault="0044493F" w:rsidP="00D378A1">
      <w:pPr>
        <w:jc w:val="both"/>
      </w:pPr>
      <w:r>
        <w:t xml:space="preserve">Les trois composantes de la PF que sont </w:t>
      </w:r>
    </w:p>
    <w:p w14:paraId="655A803A" w14:textId="77777777" w:rsidR="0044493F" w:rsidRDefault="007F2768" w:rsidP="00D378A1">
      <w:pPr>
        <w:pStyle w:val="Paragraphedeliste"/>
        <w:numPr>
          <w:ilvl w:val="0"/>
          <w:numId w:val="14"/>
        </w:numPr>
        <w:jc w:val="both"/>
      </w:pPr>
      <w:r>
        <w:t>La</w:t>
      </w:r>
      <w:r w:rsidR="0044493F">
        <w:t xml:space="preserve"> contraception,</w:t>
      </w:r>
    </w:p>
    <w:p w14:paraId="5BF62AFA" w14:textId="676646F6" w:rsidR="0044493F" w:rsidRDefault="007F2768" w:rsidP="00D378A1">
      <w:pPr>
        <w:pStyle w:val="Paragraphedeliste"/>
        <w:numPr>
          <w:ilvl w:val="0"/>
          <w:numId w:val="14"/>
        </w:numPr>
        <w:jc w:val="both"/>
      </w:pPr>
      <w:r>
        <w:t>La</w:t>
      </w:r>
      <w:r w:rsidR="0044493F">
        <w:t xml:space="preserve"> prise en charge</w:t>
      </w:r>
      <w:r w:rsidR="0033713C">
        <w:t xml:space="preserve"> du désir de conception,</w:t>
      </w:r>
      <w:r w:rsidR="0044493F">
        <w:t xml:space="preserve"> de l’infertilité et de l’infécondité du couple, </w:t>
      </w:r>
    </w:p>
    <w:p w14:paraId="0DDBA6F8" w14:textId="7BF8D258" w:rsidR="007742A8" w:rsidRDefault="007F2768" w:rsidP="00D378A1">
      <w:pPr>
        <w:pStyle w:val="Paragraphedeliste"/>
        <w:numPr>
          <w:ilvl w:val="0"/>
          <w:numId w:val="14"/>
        </w:numPr>
        <w:jc w:val="both"/>
      </w:pPr>
      <w:r>
        <w:t>La</w:t>
      </w:r>
      <w:r w:rsidR="0044493F">
        <w:t xml:space="preserve"> prise en charge et la prévention des IST et du VIH/Sida</w:t>
      </w:r>
      <w:r w:rsidR="00710155">
        <w:t> ;</w:t>
      </w:r>
      <w:r w:rsidR="0044493F">
        <w:t xml:space="preserve"> </w:t>
      </w:r>
    </w:p>
    <w:p w14:paraId="3EA12C05" w14:textId="7372F53C" w:rsidR="0044493F" w:rsidRDefault="00710155" w:rsidP="00D378A1">
      <w:pPr>
        <w:jc w:val="both"/>
      </w:pPr>
      <w:r>
        <w:t>Sont</w:t>
      </w:r>
      <w:r w:rsidR="0044493F">
        <w:t xml:space="preserve"> à considérer pour une </w:t>
      </w:r>
      <w:r w:rsidR="002150B4">
        <w:t>meilleure</w:t>
      </w:r>
      <w:r w:rsidR="0044493F">
        <w:t xml:space="preserve"> PEC de la santé sexuelle et </w:t>
      </w:r>
      <w:r w:rsidR="002150B4">
        <w:t>reproductive</w:t>
      </w:r>
      <w:r w:rsidR="0044493F">
        <w:t xml:space="preserve"> </w:t>
      </w:r>
      <w:r>
        <w:t xml:space="preserve">des </w:t>
      </w:r>
      <w:proofErr w:type="spellStart"/>
      <w:r>
        <w:t>PvVIH</w:t>
      </w:r>
      <w:proofErr w:type="spellEnd"/>
      <w:r w:rsidR="0044493F">
        <w:t>.</w:t>
      </w:r>
    </w:p>
    <w:p w14:paraId="482290EF" w14:textId="389FE6C9" w:rsidR="000638C4" w:rsidRDefault="0044493F" w:rsidP="00D378A1">
      <w:pPr>
        <w:jc w:val="both"/>
      </w:pPr>
      <w:r>
        <w:t xml:space="preserve">A </w:t>
      </w:r>
      <w:r w:rsidR="00E52351">
        <w:t xml:space="preserve">ce jour, la </w:t>
      </w:r>
      <w:r w:rsidR="008E2AB1">
        <w:t>première et la troisième composante</w:t>
      </w:r>
      <w:r w:rsidR="00E52351">
        <w:t xml:space="preserve"> </w:t>
      </w:r>
      <w:r w:rsidR="008E2AB1">
        <w:t>(contraception, prévention et prise en charge des IST et du VIH)</w:t>
      </w:r>
      <w:r w:rsidR="00423E48">
        <w:t xml:space="preserve"> </w:t>
      </w:r>
      <w:r w:rsidR="008E2AB1">
        <w:t xml:space="preserve">sont pris en charge par nos services au niveau décentralisés par les sages </w:t>
      </w:r>
      <w:r w:rsidR="000638C4">
        <w:t>-</w:t>
      </w:r>
      <w:r w:rsidR="008E2AB1">
        <w:t>femmes</w:t>
      </w:r>
      <w:r w:rsidR="006265C2">
        <w:t xml:space="preserve"> à travers le </w:t>
      </w:r>
      <w:r w:rsidR="00710155">
        <w:t>« </w:t>
      </w:r>
      <w:proofErr w:type="spellStart"/>
      <w:r w:rsidR="006265C2">
        <w:t>ndeye</w:t>
      </w:r>
      <w:proofErr w:type="spellEnd"/>
      <w:r w:rsidR="006265C2">
        <w:t xml:space="preserve"> </w:t>
      </w:r>
      <w:proofErr w:type="spellStart"/>
      <w:r w:rsidR="006265C2">
        <w:t>dické</w:t>
      </w:r>
      <w:proofErr w:type="spellEnd"/>
      <w:r w:rsidR="00710155">
        <w:t> »</w:t>
      </w:r>
      <w:r w:rsidR="006265C2">
        <w:t xml:space="preserve"> (</w:t>
      </w:r>
      <w:r w:rsidR="008E2AB1">
        <w:t xml:space="preserve">marrainage et la PEC du couple mère </w:t>
      </w:r>
      <w:r w:rsidR="002150B4">
        <w:t>enfant</w:t>
      </w:r>
      <w:r w:rsidR="008E2AB1">
        <w:t xml:space="preserve"> jusqu’à la sérologie définitive)</w:t>
      </w:r>
      <w:r w:rsidR="000027B2">
        <w:t xml:space="preserve"> </w:t>
      </w:r>
      <w:r w:rsidR="008E2AB1">
        <w:t xml:space="preserve">qui dépistent le VIH chez toutes femmes </w:t>
      </w:r>
      <w:r w:rsidR="008E2AB1">
        <w:lastRenderedPageBreak/>
        <w:t>enceintes au premier contact, font le suivi de la prise en charge du VIH chez la maman et la prévention chez l’</w:t>
      </w:r>
      <w:r w:rsidR="002150B4">
        <w:t>enfant</w:t>
      </w:r>
      <w:r w:rsidR="000F1D99">
        <w:t xml:space="preserve"> exposé</w:t>
      </w:r>
      <w:r w:rsidR="00165AC3">
        <w:t xml:space="preserve">. </w:t>
      </w:r>
      <w:r w:rsidR="00D378A1">
        <w:t>Toutefois</w:t>
      </w:r>
      <w:r w:rsidR="006265C2">
        <w:t>, des</w:t>
      </w:r>
      <w:r w:rsidR="00423E48">
        <w:t xml:space="preserve"> insuffisances sont notées dans la mise en œuvre</w:t>
      </w:r>
      <w:r w:rsidR="000638C4">
        <w:t xml:space="preserve"> à savoir le manque d’appropriation de la stratégie </w:t>
      </w:r>
      <w:r w:rsidR="00710155">
        <w:t>« </w:t>
      </w:r>
      <w:proofErr w:type="spellStart"/>
      <w:r w:rsidR="000638C4">
        <w:t>ndeye</w:t>
      </w:r>
      <w:proofErr w:type="spellEnd"/>
      <w:r w:rsidR="000638C4">
        <w:t xml:space="preserve"> </w:t>
      </w:r>
      <w:proofErr w:type="spellStart"/>
      <w:r w:rsidR="000638C4">
        <w:t>dické</w:t>
      </w:r>
      <w:proofErr w:type="spellEnd"/>
      <w:r w:rsidR="00710155">
        <w:t> »</w:t>
      </w:r>
      <w:r w:rsidR="000638C4">
        <w:t xml:space="preserve"> par la S</w:t>
      </w:r>
      <w:r w:rsidR="00332D54">
        <w:t>age-</w:t>
      </w:r>
      <w:r w:rsidR="000638C4">
        <w:t>F</w:t>
      </w:r>
      <w:r w:rsidR="00332D54">
        <w:t>emme</w:t>
      </w:r>
      <w:r w:rsidR="000638C4">
        <w:t xml:space="preserve">, les femmes </w:t>
      </w:r>
      <w:r w:rsidR="00165AC3">
        <w:t xml:space="preserve">enceintes </w:t>
      </w:r>
      <w:r w:rsidR="000638C4">
        <w:t>faisant souvent des va</w:t>
      </w:r>
      <w:r w:rsidR="00D378A1">
        <w:t xml:space="preserve"> et vient </w:t>
      </w:r>
      <w:r w:rsidR="000638C4">
        <w:t>entre le médecin</w:t>
      </w:r>
      <w:r w:rsidR="00165AC3">
        <w:t xml:space="preserve"> pour le suivi du VIH</w:t>
      </w:r>
      <w:r w:rsidR="000638C4">
        <w:t xml:space="preserve">VIH et la SF pour le </w:t>
      </w:r>
      <w:r w:rsidR="00D378A1">
        <w:t>suivi obstétrical avec des</w:t>
      </w:r>
      <w:r w:rsidR="000638C4">
        <w:t xml:space="preserve"> </w:t>
      </w:r>
      <w:r w:rsidR="00165AC3">
        <w:t>rendez- vous différents</w:t>
      </w:r>
      <w:r w:rsidR="000638C4">
        <w:t xml:space="preserve">. </w:t>
      </w:r>
    </w:p>
    <w:p w14:paraId="711F07D9" w14:textId="764D7DB3" w:rsidR="008E2AB1" w:rsidRDefault="00423E48" w:rsidP="00D378A1">
      <w:pPr>
        <w:jc w:val="both"/>
      </w:pPr>
      <w:r>
        <w:t xml:space="preserve">Les sages </w:t>
      </w:r>
      <w:r w:rsidR="000638C4">
        <w:t>-</w:t>
      </w:r>
      <w:r>
        <w:t xml:space="preserve">femmes </w:t>
      </w:r>
      <w:r w:rsidR="00871AF7">
        <w:t>font le counseling</w:t>
      </w:r>
      <w:r w:rsidR="006265C2">
        <w:t xml:space="preserve"> </w:t>
      </w:r>
      <w:r w:rsidR="00984739">
        <w:t xml:space="preserve">pour </w:t>
      </w:r>
      <w:r>
        <w:t xml:space="preserve">le planning familial du post partum </w:t>
      </w:r>
      <w:r w:rsidR="00871AF7">
        <w:t xml:space="preserve">lors des CPN, dans les suites de </w:t>
      </w:r>
      <w:r w:rsidR="006265C2">
        <w:t>couches,</w:t>
      </w:r>
      <w:r w:rsidR="00871AF7">
        <w:t xml:space="preserve"> à la suite d’un avortement</w:t>
      </w:r>
      <w:r w:rsidR="00D378A1">
        <w:t xml:space="preserve">, </w:t>
      </w:r>
      <w:r w:rsidR="00114CE7">
        <w:t>d</w:t>
      </w:r>
      <w:r>
        <w:t>es CPON</w:t>
      </w:r>
      <w:r w:rsidR="00871AF7">
        <w:t xml:space="preserve"> </w:t>
      </w:r>
      <w:r w:rsidR="000638C4">
        <w:t>(</w:t>
      </w:r>
      <w:r>
        <w:t>consultations post natales)</w:t>
      </w:r>
      <w:r w:rsidR="000638C4">
        <w:t xml:space="preserve"> </w:t>
      </w:r>
      <w:r w:rsidR="007742A8">
        <w:t xml:space="preserve">même si la proposition n’est pas toujours systématique </w:t>
      </w:r>
      <w:r>
        <w:t>avec des visites non synchronisées avec la consultation médicale</w:t>
      </w:r>
      <w:r w:rsidR="000638C4">
        <w:t xml:space="preserve"> de la femme vivant avec le VIH</w:t>
      </w:r>
      <w:r>
        <w:t>.</w:t>
      </w:r>
      <w:r w:rsidR="00710155">
        <w:t xml:space="preserve"> </w:t>
      </w:r>
    </w:p>
    <w:p w14:paraId="4E7D06AB" w14:textId="77777777" w:rsidR="00423E48" w:rsidRDefault="00423E48" w:rsidP="00D378A1">
      <w:pPr>
        <w:jc w:val="both"/>
      </w:pPr>
    </w:p>
    <w:p w14:paraId="0BE12018" w14:textId="0091A669" w:rsidR="00842630" w:rsidRDefault="004E5B20" w:rsidP="00D378A1">
      <w:pPr>
        <w:jc w:val="both"/>
      </w:pPr>
      <w:r>
        <w:t>En revanche</w:t>
      </w:r>
      <w:r w:rsidR="000638C4">
        <w:t xml:space="preserve">, la prise en charge </w:t>
      </w:r>
      <w:r>
        <w:t>du désir de</w:t>
      </w:r>
      <w:r w:rsidR="0033713C">
        <w:t xml:space="preserve"> </w:t>
      </w:r>
      <w:r>
        <w:t xml:space="preserve">conception, notamment en cas </w:t>
      </w:r>
      <w:r w:rsidR="000638C4">
        <w:t>d’</w:t>
      </w:r>
      <w:r w:rsidR="007742A8">
        <w:t xml:space="preserve">infertilité </w:t>
      </w:r>
      <w:r w:rsidR="00E52351">
        <w:t xml:space="preserve">est insuffisamment prise en compte par les acteurs </w:t>
      </w:r>
      <w:r w:rsidR="002C2980">
        <w:t>de la riposte avec seule</w:t>
      </w:r>
      <w:r w:rsidR="007742A8">
        <w:t>ment le soutien psycho affectif apporté le plus souvent par l’équipe de soutien psychosocial.</w:t>
      </w:r>
      <w:r w:rsidR="00842630">
        <w:t xml:space="preserve"> </w:t>
      </w:r>
    </w:p>
    <w:p w14:paraId="31EB64D9" w14:textId="509E48CB" w:rsidR="00EB3889" w:rsidRDefault="00842630" w:rsidP="00D378A1">
      <w:pPr>
        <w:jc w:val="both"/>
      </w:pPr>
      <w:r>
        <w:t xml:space="preserve">Auparavant, au début de la </w:t>
      </w:r>
      <w:r w:rsidR="006265C2">
        <w:t>riposte, les</w:t>
      </w:r>
      <w:r>
        <w:t xml:space="preserve"> informations que recevaient les femmes n’étaient pas en faveur d’une conception de grossesse de </w:t>
      </w:r>
      <w:r w:rsidR="00EB3889">
        <w:t>façon libre et éclairée</w:t>
      </w:r>
      <w:r w:rsidR="006265C2">
        <w:t> : La</w:t>
      </w:r>
      <w:r>
        <w:t xml:space="preserve"> charge virale n’</w:t>
      </w:r>
      <w:r w:rsidR="001D7015">
        <w:t xml:space="preserve">était pas toujours accessible, les césariennes </w:t>
      </w:r>
      <w:r w:rsidR="006265C2">
        <w:t>et les</w:t>
      </w:r>
      <w:r w:rsidR="00EB3889">
        <w:t xml:space="preserve"> </w:t>
      </w:r>
      <w:r w:rsidR="001D7015">
        <w:t>manœuvres obstétri</w:t>
      </w:r>
      <w:r w:rsidR="00EB3889">
        <w:t>c</w:t>
      </w:r>
      <w:r w:rsidR="001D7015">
        <w:t>ales proscrites ;</w:t>
      </w:r>
      <w:r>
        <w:t xml:space="preserve"> </w:t>
      </w:r>
      <w:r w:rsidR="006265C2">
        <w:t xml:space="preserve">certaines femmes se sont même vu refuser la PF du fait de leur séropositivité. </w:t>
      </w:r>
      <w:r w:rsidR="007742A8">
        <w:t>Il y</w:t>
      </w:r>
      <w:r w:rsidR="007F2768">
        <w:t>’</w:t>
      </w:r>
      <w:r w:rsidR="007742A8">
        <w:t>avait aussi la peur des rapports sexuels c</w:t>
      </w:r>
      <w:r w:rsidR="006265C2">
        <w:t xml:space="preserve">hez les couples </w:t>
      </w:r>
      <w:proofErr w:type="spellStart"/>
      <w:r w:rsidR="006265C2">
        <w:t>séro</w:t>
      </w:r>
      <w:r w:rsidR="00D378A1">
        <w:t>-</w:t>
      </w:r>
      <w:r w:rsidR="006265C2">
        <w:t>discordants</w:t>
      </w:r>
      <w:proofErr w:type="spellEnd"/>
      <w:r w:rsidR="001D7015">
        <w:t>.</w:t>
      </w:r>
    </w:p>
    <w:p w14:paraId="2D75AB42" w14:textId="4D23C667" w:rsidR="0044493F" w:rsidRDefault="001D7015" w:rsidP="00D378A1">
      <w:pPr>
        <w:jc w:val="both"/>
      </w:pPr>
      <w:r>
        <w:t xml:space="preserve">A ce </w:t>
      </w:r>
      <w:r w:rsidR="006265C2">
        <w:t>jour, avec</w:t>
      </w:r>
      <w:r w:rsidR="007742A8">
        <w:t xml:space="preserve"> la campagne de communication U=U développée au Sénégal, la confiance regagne petit à petit</w:t>
      </w:r>
      <w:r w:rsidR="00EB3889">
        <w:t xml:space="preserve"> par rapport à la sexualité et le désir de conception</w:t>
      </w:r>
      <w:r w:rsidR="007742A8">
        <w:t>.</w:t>
      </w:r>
    </w:p>
    <w:p w14:paraId="1637D45A" w14:textId="5DF429FB" w:rsidR="007F2768" w:rsidRDefault="007F2768" w:rsidP="00D378A1">
      <w:pPr>
        <w:jc w:val="both"/>
      </w:pPr>
      <w:r>
        <w:t>Le pays a également adopté l’ISBC</w:t>
      </w:r>
      <w:r w:rsidR="00114CE7">
        <w:t xml:space="preserve"> </w:t>
      </w:r>
      <w:r>
        <w:t>(Identification systématique des besoins de la cliente) pour réduire les besoins non satisfait</w:t>
      </w:r>
      <w:r w:rsidR="00D378A1">
        <w:t>s</w:t>
      </w:r>
      <w:r>
        <w:t xml:space="preserve"> avec la proposition systématique de la PF</w:t>
      </w:r>
      <w:r w:rsidR="008619CD">
        <w:t xml:space="preserve"> au niveau </w:t>
      </w:r>
      <w:r w:rsidR="006265C2">
        <w:t>de toutes</w:t>
      </w:r>
      <w:r>
        <w:t xml:space="preserve"> les portes d’entrée</w:t>
      </w:r>
      <w:r w:rsidR="008619CD">
        <w:t xml:space="preserve"> </w:t>
      </w:r>
      <w:r>
        <w:t xml:space="preserve">(vaccination, consultation générale, depuis la CPN jusqu’à la </w:t>
      </w:r>
      <w:r w:rsidR="008619CD">
        <w:t>CPON</w:t>
      </w:r>
      <w:r w:rsidR="004E5B20">
        <w:t xml:space="preserve">, services d’offre du </w:t>
      </w:r>
      <w:proofErr w:type="gramStart"/>
      <w:r w:rsidR="004E5B20">
        <w:t>TARV</w:t>
      </w:r>
      <w:r w:rsidR="008619CD">
        <w:t>….</w:t>
      </w:r>
      <w:proofErr w:type="gramEnd"/>
      <w:r w:rsidR="008619CD">
        <w:t xml:space="preserve">) </w:t>
      </w:r>
      <w:r w:rsidR="002150B4">
        <w:t>L’évaluation de cette stratégie avait montré que</w:t>
      </w:r>
      <w:r w:rsidR="008619CD">
        <w:t xml:space="preserve"> seul un petit nomb</w:t>
      </w:r>
      <w:r w:rsidR="006265C2">
        <w:t>re de prestataire l’utilisaient, la majorité</w:t>
      </w:r>
      <w:r w:rsidR="008619CD">
        <w:t xml:space="preserve"> </w:t>
      </w:r>
      <w:r w:rsidR="00D378A1">
        <w:t>parlai</w:t>
      </w:r>
      <w:r w:rsidR="008619CD">
        <w:t>t de surcharge de travail avec des outi</w:t>
      </w:r>
      <w:r w:rsidR="006265C2">
        <w:t>ls supplémentaires à renseigner</w:t>
      </w:r>
      <w:r w:rsidR="008619CD">
        <w:t>.</w:t>
      </w:r>
    </w:p>
    <w:p w14:paraId="2F070D68" w14:textId="77777777" w:rsidR="00137586" w:rsidRDefault="00137586" w:rsidP="00D378A1">
      <w:pPr>
        <w:jc w:val="both"/>
      </w:pPr>
    </w:p>
    <w:p w14:paraId="01294C88" w14:textId="77777777" w:rsidR="00137586" w:rsidRDefault="00137586" w:rsidP="00D378A1">
      <w:pPr>
        <w:jc w:val="both"/>
      </w:pPr>
    </w:p>
    <w:p w14:paraId="7B0F701F" w14:textId="77777777" w:rsidR="00137586" w:rsidRDefault="00137586" w:rsidP="00D378A1">
      <w:pPr>
        <w:jc w:val="both"/>
      </w:pPr>
    </w:p>
    <w:p w14:paraId="300E0417" w14:textId="2869B9F3" w:rsidR="00137586" w:rsidRDefault="00137586" w:rsidP="00D378A1">
      <w:pPr>
        <w:jc w:val="both"/>
        <w:sectPr w:rsidR="00137586" w:rsidSect="00B77FF5">
          <w:type w:val="continuous"/>
          <w:pgSz w:w="11906" w:h="16838"/>
          <w:pgMar w:top="720" w:right="720" w:bottom="720" w:left="142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137586" w14:paraId="2068B8A4" w14:textId="77777777" w:rsidTr="00137586">
        <w:trPr>
          <w:trHeight w:val="6818"/>
        </w:trPr>
        <w:tc>
          <w:tcPr>
            <w:tcW w:w="160" w:type="dxa"/>
            <w:shd w:val="clear" w:color="auto" w:fill="000000" w:themeFill="text1"/>
          </w:tcPr>
          <w:p w14:paraId="69709DF5" w14:textId="77777777" w:rsidR="00137586" w:rsidRDefault="00137586" w:rsidP="00137586">
            <w:pPr>
              <w:jc w:val="both"/>
            </w:pPr>
          </w:p>
        </w:tc>
      </w:tr>
    </w:tbl>
    <w:p w14:paraId="2D917C54" w14:textId="2B679741" w:rsidR="00305C60" w:rsidRDefault="002150B4" w:rsidP="00D378A1">
      <w:pPr>
        <w:jc w:val="both"/>
      </w:pPr>
      <w:r>
        <w:t xml:space="preserve">Aussi, </w:t>
      </w:r>
      <w:r w:rsidR="00D378A1">
        <w:t>l</w:t>
      </w:r>
      <w:r w:rsidR="00305C60">
        <w:t xml:space="preserve">es anciens dossiers de prise en charge se contentaient uniquement de </w:t>
      </w:r>
      <w:r w:rsidR="00D378A1">
        <w:t xml:space="preserve">notifier que </w:t>
      </w:r>
      <w:r w:rsidR="00305C60">
        <w:t xml:space="preserve">la femme est sous méthode ou pas, </w:t>
      </w:r>
      <w:r w:rsidR="000D31A8">
        <w:t xml:space="preserve">proposition de </w:t>
      </w:r>
      <w:proofErr w:type="gramStart"/>
      <w:r w:rsidR="000D31A8">
        <w:t>PF.</w:t>
      </w:r>
      <w:r w:rsidR="004E5B20">
        <w:t>(</w:t>
      </w:r>
      <w:proofErr w:type="gramEnd"/>
      <w:r w:rsidR="004E5B20">
        <w:t xml:space="preserve"> figure 1)</w:t>
      </w:r>
    </w:p>
    <w:p w14:paraId="6C2BA519" w14:textId="4E2B4747" w:rsidR="00137586" w:rsidRDefault="00137586" w:rsidP="00137586">
      <w:pPr>
        <w:jc w:val="both"/>
        <w:sectPr w:rsidR="00137586" w:rsidSect="0013758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Les nouveaux dossiers individuels de prise en charge du VIH ont pris en compte l’ISBC et on espère avoir des améliorations par rapport à </w:t>
      </w:r>
      <w:proofErr w:type="gramStart"/>
      <w:r>
        <w:t>l’offre(</w:t>
      </w:r>
      <w:proofErr w:type="gramEnd"/>
      <w:r>
        <w:t>Figure 2)</w:t>
      </w:r>
    </w:p>
    <w:p w14:paraId="283390EB" w14:textId="24BFC66A" w:rsidR="00137586" w:rsidRDefault="00137586" w:rsidP="00137586">
      <w:pPr>
        <w:jc w:val="both"/>
      </w:pPr>
      <w:r>
        <w:t>.</w:t>
      </w:r>
    </w:p>
    <w:p w14:paraId="35520FC4" w14:textId="77777777" w:rsidR="00137586" w:rsidRDefault="00137586" w:rsidP="00D378A1">
      <w:pPr>
        <w:jc w:val="both"/>
      </w:pPr>
    </w:p>
    <w:p w14:paraId="415B6CC5" w14:textId="5CCCF3A3" w:rsidR="000D31A8" w:rsidRDefault="000D31A8" w:rsidP="0044493F">
      <w:r>
        <w:rPr>
          <w:noProof/>
        </w:rPr>
        <w:drawing>
          <wp:inline distT="0" distB="0" distL="0" distR="0" wp14:anchorId="406AF0AE" wp14:editId="3EF04F9E">
            <wp:extent cx="2592474" cy="2057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 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109" cy="205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586">
        <w:rPr>
          <w:noProof/>
        </w:rPr>
        <w:t xml:space="preserve">                           </w:t>
      </w:r>
      <w:r w:rsidR="00137586">
        <w:rPr>
          <w:noProof/>
        </w:rPr>
        <w:drawing>
          <wp:inline distT="0" distB="0" distL="0" distR="0" wp14:anchorId="6720C596" wp14:editId="7BE264D2">
            <wp:extent cx="2374900" cy="2379819"/>
            <wp:effectExtent l="0" t="0" r="635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703" cy="23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89FFE" w14:textId="682DE843" w:rsidR="004E5B20" w:rsidRPr="00332D54" w:rsidRDefault="004E5B20" w:rsidP="0044493F">
      <w:pPr>
        <w:rPr>
          <w:b/>
          <w:bCs/>
          <w:i/>
          <w:iCs/>
        </w:rPr>
      </w:pPr>
    </w:p>
    <w:p w14:paraId="4C8DBD2D" w14:textId="77777777" w:rsidR="00137586" w:rsidRDefault="00137586" w:rsidP="0044493F">
      <w:pPr>
        <w:rPr>
          <w:b/>
          <w:bCs/>
          <w:i/>
          <w:iCs/>
          <w:sz w:val="22"/>
          <w:szCs w:val="22"/>
        </w:rPr>
        <w:sectPr w:rsidR="00137586" w:rsidSect="0013758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A4E0C7F" w14:textId="3FDAEB9D" w:rsidR="004E5B20" w:rsidRPr="00137586" w:rsidRDefault="004E5B20" w:rsidP="0044493F">
      <w:pPr>
        <w:rPr>
          <w:b/>
          <w:bCs/>
          <w:i/>
          <w:iCs/>
          <w:sz w:val="22"/>
          <w:szCs w:val="22"/>
        </w:rPr>
      </w:pPr>
      <w:r w:rsidRPr="00137586">
        <w:rPr>
          <w:b/>
          <w:bCs/>
          <w:i/>
          <w:iCs/>
          <w:sz w:val="22"/>
          <w:szCs w:val="22"/>
        </w:rPr>
        <w:t>Figure 1.  Ancienne fiche de suivi du patient VIH+</w:t>
      </w:r>
    </w:p>
    <w:p w14:paraId="18B95396" w14:textId="77777777" w:rsidR="00137586" w:rsidRPr="00137586" w:rsidRDefault="00137586" w:rsidP="00137586">
      <w:pPr>
        <w:rPr>
          <w:bCs/>
          <w:i/>
          <w:iCs/>
          <w:sz w:val="22"/>
          <w:szCs w:val="22"/>
        </w:rPr>
      </w:pPr>
      <w:r w:rsidRPr="00137586">
        <w:rPr>
          <w:bCs/>
          <w:i/>
          <w:iCs/>
          <w:sz w:val="22"/>
          <w:szCs w:val="22"/>
        </w:rPr>
        <w:t>Figure 2. Nouveau dossier patient fournissant les informations sur l’Identification systématique des besoins de la cliente (ISBC)</w:t>
      </w:r>
    </w:p>
    <w:p w14:paraId="1E01AFB0" w14:textId="77777777" w:rsidR="00137586" w:rsidRDefault="00137586" w:rsidP="0044493F">
      <w:pPr>
        <w:rPr>
          <w:b/>
          <w:bCs/>
          <w:i/>
          <w:iCs/>
        </w:rPr>
        <w:sectPr w:rsidR="00137586" w:rsidSect="0013758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76F9DC0" w14:textId="749F4AB3" w:rsidR="00137586" w:rsidRPr="00332D54" w:rsidRDefault="00137586" w:rsidP="0044493F">
      <w:pPr>
        <w:rPr>
          <w:b/>
          <w:bCs/>
          <w:i/>
          <w:iCs/>
        </w:rPr>
      </w:pPr>
    </w:p>
    <w:p w14:paraId="4FFAEB9E" w14:textId="77777777" w:rsidR="004E5B20" w:rsidRDefault="004E5B20" w:rsidP="0044493F"/>
    <w:p w14:paraId="2B1D9747" w14:textId="73F1FCA3" w:rsidR="008619CD" w:rsidRDefault="008619CD" w:rsidP="0044493F"/>
    <w:p w14:paraId="25760196" w14:textId="3B27A172" w:rsidR="00137586" w:rsidRDefault="00137586" w:rsidP="0044493F"/>
    <w:p w14:paraId="7A6976F7" w14:textId="3B05D8CB" w:rsidR="00137586" w:rsidRDefault="00137586" w:rsidP="0044493F"/>
    <w:p w14:paraId="6A5AAF59" w14:textId="77777777" w:rsidR="00137586" w:rsidRDefault="00137586" w:rsidP="0044493F"/>
    <w:p w14:paraId="2B3D2D62" w14:textId="77777777" w:rsidR="0033713C" w:rsidRDefault="0033713C" w:rsidP="0044493F">
      <w:pPr>
        <w:rPr>
          <w:b/>
          <w:sz w:val="28"/>
          <w:szCs w:val="28"/>
        </w:rPr>
      </w:pPr>
    </w:p>
    <w:p w14:paraId="2941551D" w14:textId="7DA193A4" w:rsidR="007742A8" w:rsidRDefault="000D31A8" w:rsidP="0044493F">
      <w:r w:rsidRPr="000F1D99">
        <w:rPr>
          <w:b/>
          <w:sz w:val="28"/>
          <w:szCs w:val="28"/>
        </w:rPr>
        <w:t>Recommandations </w:t>
      </w:r>
      <w:r>
        <w:t>:</w:t>
      </w:r>
    </w:p>
    <w:p w14:paraId="4A6AF69A" w14:textId="58D8CCC4" w:rsidR="000D31A8" w:rsidRDefault="000D31A8" w:rsidP="00D378A1">
      <w:pPr>
        <w:jc w:val="both"/>
      </w:pPr>
      <w:r>
        <w:t xml:space="preserve">Nous </w:t>
      </w:r>
      <w:proofErr w:type="gramStart"/>
      <w:r>
        <w:t>femmes vivants</w:t>
      </w:r>
      <w:proofErr w:type="gramEnd"/>
      <w:r>
        <w:t xml:space="preserve"> avec le VIH, nous voulons que nos besoins soient pris en charge et </w:t>
      </w:r>
      <w:r w:rsidR="001D7015">
        <w:t>nous suggérons</w:t>
      </w:r>
    </w:p>
    <w:p w14:paraId="04834D36" w14:textId="77777777" w:rsidR="000D31A8" w:rsidRDefault="000D31A8" w:rsidP="00D378A1">
      <w:pPr>
        <w:pStyle w:val="Paragraphedeliste"/>
        <w:numPr>
          <w:ilvl w:val="0"/>
          <w:numId w:val="14"/>
        </w:numPr>
        <w:jc w:val="both"/>
      </w:pPr>
      <w:r>
        <w:t xml:space="preserve">Une proposition systématique de la PF par les prestataires en charge du VIH </w:t>
      </w:r>
    </w:p>
    <w:p w14:paraId="3C35CD3C" w14:textId="034652A2" w:rsidR="000D31A8" w:rsidRDefault="000D31A8" w:rsidP="00D378A1">
      <w:pPr>
        <w:pStyle w:val="Paragraphedeliste"/>
        <w:numPr>
          <w:ilvl w:val="0"/>
          <w:numId w:val="14"/>
        </w:numPr>
        <w:jc w:val="both"/>
      </w:pPr>
      <w:r>
        <w:t xml:space="preserve">Une meilleure prise en compte de nos besoins en matière </w:t>
      </w:r>
      <w:r w:rsidR="0006416A">
        <w:t xml:space="preserve">désir de conception et </w:t>
      </w:r>
      <w:r>
        <w:t>d’</w:t>
      </w:r>
      <w:r w:rsidR="0006416A">
        <w:t>infertilité</w:t>
      </w:r>
    </w:p>
    <w:p w14:paraId="770F4E9C" w14:textId="293ACA02" w:rsidR="000D31A8" w:rsidRDefault="000D31A8" w:rsidP="00D378A1">
      <w:pPr>
        <w:pStyle w:val="Paragraphedeliste"/>
        <w:numPr>
          <w:ilvl w:val="0"/>
          <w:numId w:val="14"/>
        </w:numPr>
        <w:jc w:val="both"/>
      </w:pPr>
      <w:r>
        <w:t>Une intégration de la PF dans les services de TAR</w:t>
      </w:r>
      <w:r w:rsidR="0006416A">
        <w:t xml:space="preserve"> avec formation des prestataires de soin de la PEC </w:t>
      </w:r>
    </w:p>
    <w:p w14:paraId="2147B261" w14:textId="4363194B" w:rsidR="000D31A8" w:rsidRDefault="000D31A8" w:rsidP="00D378A1">
      <w:pPr>
        <w:pStyle w:val="Paragraphedeliste"/>
        <w:numPr>
          <w:ilvl w:val="0"/>
          <w:numId w:val="14"/>
        </w:numPr>
        <w:jc w:val="both"/>
      </w:pPr>
      <w:r>
        <w:t xml:space="preserve">Une formation des acteurs communautaires associatifs sur </w:t>
      </w:r>
      <w:r w:rsidR="00137586">
        <w:t>le conseil</w:t>
      </w:r>
      <w:r w:rsidR="0006416A">
        <w:t xml:space="preserve"> pour la</w:t>
      </w:r>
      <w:r>
        <w:t xml:space="preserve"> PF</w:t>
      </w:r>
    </w:p>
    <w:p w14:paraId="569308E1" w14:textId="77777777" w:rsidR="007742A8" w:rsidRDefault="007742A8" w:rsidP="00D378A1">
      <w:pPr>
        <w:jc w:val="both"/>
      </w:pPr>
    </w:p>
    <w:p w14:paraId="61C8912E" w14:textId="77777777" w:rsidR="007742A8" w:rsidRDefault="007742A8" w:rsidP="00D378A1">
      <w:pPr>
        <w:jc w:val="both"/>
      </w:pPr>
    </w:p>
    <w:p w14:paraId="66766BB3" w14:textId="70917739" w:rsidR="002C2980" w:rsidRDefault="00137586" w:rsidP="0044493F">
      <w:r>
        <w:rPr>
          <w:noProof/>
        </w:rPr>
        <w:drawing>
          <wp:inline distT="0" distB="0" distL="0" distR="0" wp14:anchorId="1797A89D" wp14:editId="302C5FE2">
            <wp:extent cx="5226050" cy="3225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E91A2" w14:textId="6515CACE" w:rsidR="0044493F" w:rsidRDefault="00137586" w:rsidP="00E77F0B">
      <w:r>
        <w:t>Des Femmes du réseau des personnes VIH+ du Sénégal</w:t>
      </w:r>
    </w:p>
    <w:p w14:paraId="11F5EB5E" w14:textId="77777777" w:rsidR="0044493F" w:rsidRDefault="0044493F" w:rsidP="00E77F0B"/>
    <w:p w14:paraId="22531DC3" w14:textId="77777777" w:rsidR="00E77F0B" w:rsidRDefault="00E77F0B" w:rsidP="00E77F0B"/>
    <w:p w14:paraId="69A9868C" w14:textId="77777777" w:rsidR="00456B76" w:rsidRDefault="00456B76" w:rsidP="00E77F0B"/>
    <w:p w14:paraId="279B985B" w14:textId="77777777" w:rsidR="00D41FFB" w:rsidRDefault="00D41FFB" w:rsidP="00EC3D3B">
      <w:pPr>
        <w:pStyle w:val="Paragraphedeliste"/>
      </w:pPr>
    </w:p>
    <w:p w14:paraId="17309954" w14:textId="77777777" w:rsidR="008445E8" w:rsidRDefault="008445E8" w:rsidP="00EC3D3B">
      <w:pPr>
        <w:pStyle w:val="Paragraphedeliste"/>
      </w:pPr>
    </w:p>
    <w:p w14:paraId="3E76DCD2" w14:textId="77777777" w:rsidR="00D81B8C" w:rsidRDefault="00D81B8C" w:rsidP="00EC3D3B">
      <w:pPr>
        <w:pStyle w:val="Paragraphedeliste"/>
      </w:pPr>
    </w:p>
    <w:p w14:paraId="71022BB1" w14:textId="77777777" w:rsidR="00D81B8C" w:rsidRDefault="00D81B8C" w:rsidP="00EC3D3B">
      <w:pPr>
        <w:pStyle w:val="Paragraphedeliste"/>
      </w:pPr>
    </w:p>
    <w:p w14:paraId="7B532979" w14:textId="77777777" w:rsidR="00D81B8C" w:rsidRDefault="00D81B8C" w:rsidP="00EC3D3B">
      <w:pPr>
        <w:pStyle w:val="Paragraphedeliste"/>
      </w:pPr>
    </w:p>
    <w:sectPr w:rsidR="00D81B8C" w:rsidSect="0013758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6F94" w14:textId="77777777" w:rsidR="009A0DB0" w:rsidRDefault="009A0DB0" w:rsidP="00B77FF5">
      <w:r>
        <w:separator/>
      </w:r>
    </w:p>
  </w:endnote>
  <w:endnote w:type="continuationSeparator" w:id="0">
    <w:p w14:paraId="026998D0" w14:textId="77777777" w:rsidR="009A0DB0" w:rsidRDefault="009A0DB0" w:rsidP="00B7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A3F8" w14:textId="77777777" w:rsidR="00B77FF5" w:rsidRDefault="00B77F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DFE4" w14:textId="2657A49B" w:rsidR="00B77FF5" w:rsidRDefault="00B77FF5">
    <w:pPr>
      <w:pStyle w:val="Pieddepage"/>
    </w:pPr>
    <w:r w:rsidRPr="00B77FF5">
      <w:rPr>
        <w:noProof/>
      </w:rPr>
      <w:drawing>
        <wp:inline distT="0" distB="0" distL="0" distR="0" wp14:anchorId="0B528742" wp14:editId="781BA43F">
          <wp:extent cx="6979009" cy="19686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9009" cy="19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5D76" w14:textId="77777777" w:rsidR="00B77FF5" w:rsidRDefault="00B77F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0C92" w14:textId="77777777" w:rsidR="009A0DB0" w:rsidRDefault="009A0DB0" w:rsidP="00B77FF5">
      <w:r>
        <w:separator/>
      </w:r>
    </w:p>
  </w:footnote>
  <w:footnote w:type="continuationSeparator" w:id="0">
    <w:p w14:paraId="5785E2AE" w14:textId="77777777" w:rsidR="009A0DB0" w:rsidRDefault="009A0DB0" w:rsidP="00B7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88AB" w14:textId="77777777" w:rsidR="00B77FF5" w:rsidRDefault="00B77F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CE8E" w14:textId="4B133F13" w:rsidR="00B77FF5" w:rsidRDefault="00B77FF5" w:rsidP="00B77FF5">
    <w:pPr>
      <w:pStyle w:val="En-tte"/>
      <w:ind w:left="-709" w:firstLine="709"/>
    </w:pPr>
    <w:r w:rsidRPr="00B77FF5">
      <w:rPr>
        <w:noProof/>
      </w:rPr>
      <w:drawing>
        <wp:inline distT="0" distB="0" distL="0" distR="0" wp14:anchorId="3C679418" wp14:editId="6DDD7AC5">
          <wp:extent cx="7454900" cy="32784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463941" cy="328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7434" w14:textId="77777777" w:rsidR="00B77FF5" w:rsidRDefault="00B77F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91A"/>
    <w:multiLevelType w:val="hybridMultilevel"/>
    <w:tmpl w:val="DC0415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BAC"/>
    <w:multiLevelType w:val="hybridMultilevel"/>
    <w:tmpl w:val="14AC787E"/>
    <w:lvl w:ilvl="0" w:tplc="852EC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473F"/>
    <w:multiLevelType w:val="hybridMultilevel"/>
    <w:tmpl w:val="EE80368A"/>
    <w:lvl w:ilvl="0" w:tplc="A2C2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21C2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4B961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422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69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4D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6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FCC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684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8407B"/>
    <w:multiLevelType w:val="hybridMultilevel"/>
    <w:tmpl w:val="C08EA7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17CC5"/>
    <w:multiLevelType w:val="hybridMultilevel"/>
    <w:tmpl w:val="B7E8CC12"/>
    <w:lvl w:ilvl="0" w:tplc="7212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1AA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A6D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A2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EA6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EC3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A2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849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134767"/>
    <w:multiLevelType w:val="multilevel"/>
    <w:tmpl w:val="F1EA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156E3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6D3318"/>
    <w:multiLevelType w:val="hybridMultilevel"/>
    <w:tmpl w:val="AD7AC130"/>
    <w:lvl w:ilvl="0" w:tplc="A8B21F22">
      <w:start w:val="1"/>
      <w:numFmt w:val="decimal"/>
      <w:lvlText w:val="%1 /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0B20A0"/>
    <w:multiLevelType w:val="hybridMultilevel"/>
    <w:tmpl w:val="1D4094BE"/>
    <w:lvl w:ilvl="0" w:tplc="F29627B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42E27"/>
    <w:multiLevelType w:val="hybridMultilevel"/>
    <w:tmpl w:val="9F44801E"/>
    <w:lvl w:ilvl="0" w:tplc="8A0436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88C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3E4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6F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420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820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2D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44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A3F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C20980"/>
    <w:multiLevelType w:val="hybridMultilevel"/>
    <w:tmpl w:val="5032F47A"/>
    <w:lvl w:ilvl="0" w:tplc="9FA04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6647B"/>
    <w:multiLevelType w:val="hybridMultilevel"/>
    <w:tmpl w:val="94C24578"/>
    <w:lvl w:ilvl="0" w:tplc="143A6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34AE9"/>
    <w:multiLevelType w:val="hybridMultilevel"/>
    <w:tmpl w:val="F66885D2"/>
    <w:lvl w:ilvl="0" w:tplc="561AB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32451"/>
    <w:multiLevelType w:val="hybridMultilevel"/>
    <w:tmpl w:val="FAD8EF3E"/>
    <w:lvl w:ilvl="0" w:tplc="72C21C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547B2"/>
    <w:multiLevelType w:val="hybridMultilevel"/>
    <w:tmpl w:val="0F7C8E66"/>
    <w:lvl w:ilvl="0" w:tplc="35D45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4"/>
  </w:num>
  <w:num w:numId="10">
    <w:abstractNumId w:val="5"/>
  </w:num>
  <w:num w:numId="11">
    <w:abstractNumId w:val="2"/>
  </w:num>
  <w:num w:numId="12">
    <w:abstractNumId w:val="9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81"/>
    <w:rsid w:val="000027B2"/>
    <w:rsid w:val="000638C4"/>
    <w:rsid w:val="0006416A"/>
    <w:rsid w:val="00073CCF"/>
    <w:rsid w:val="000B36CE"/>
    <w:rsid w:val="000D31A8"/>
    <w:rsid w:val="000F1D99"/>
    <w:rsid w:val="0010594D"/>
    <w:rsid w:val="00114CE7"/>
    <w:rsid w:val="00137586"/>
    <w:rsid w:val="00137E13"/>
    <w:rsid w:val="00165AC3"/>
    <w:rsid w:val="0019223E"/>
    <w:rsid w:val="001B07D1"/>
    <w:rsid w:val="001C442E"/>
    <w:rsid w:val="001D7015"/>
    <w:rsid w:val="001F088C"/>
    <w:rsid w:val="001F2C71"/>
    <w:rsid w:val="00205482"/>
    <w:rsid w:val="002150B4"/>
    <w:rsid w:val="00232249"/>
    <w:rsid w:val="002C2980"/>
    <w:rsid w:val="00305C60"/>
    <w:rsid w:val="0032368D"/>
    <w:rsid w:val="00332D54"/>
    <w:rsid w:val="0033713C"/>
    <w:rsid w:val="00367490"/>
    <w:rsid w:val="00423E48"/>
    <w:rsid w:val="00426CFE"/>
    <w:rsid w:val="0044493F"/>
    <w:rsid w:val="00456B76"/>
    <w:rsid w:val="0049704F"/>
    <w:rsid w:val="004A331D"/>
    <w:rsid w:val="004B58F2"/>
    <w:rsid w:val="004C3FAD"/>
    <w:rsid w:val="004E5B20"/>
    <w:rsid w:val="00572378"/>
    <w:rsid w:val="005A1D5F"/>
    <w:rsid w:val="005C1F6F"/>
    <w:rsid w:val="005C34ED"/>
    <w:rsid w:val="00607A8B"/>
    <w:rsid w:val="006265C2"/>
    <w:rsid w:val="00626BC0"/>
    <w:rsid w:val="00642D69"/>
    <w:rsid w:val="0068338D"/>
    <w:rsid w:val="006D611E"/>
    <w:rsid w:val="006E1557"/>
    <w:rsid w:val="006F350E"/>
    <w:rsid w:val="007061FF"/>
    <w:rsid w:val="00710155"/>
    <w:rsid w:val="00717357"/>
    <w:rsid w:val="007613F9"/>
    <w:rsid w:val="007742A8"/>
    <w:rsid w:val="00786038"/>
    <w:rsid w:val="0078764E"/>
    <w:rsid w:val="0079064E"/>
    <w:rsid w:val="007F2768"/>
    <w:rsid w:val="007F5F86"/>
    <w:rsid w:val="00842293"/>
    <w:rsid w:val="00842630"/>
    <w:rsid w:val="008445E8"/>
    <w:rsid w:val="008474D9"/>
    <w:rsid w:val="008619CD"/>
    <w:rsid w:val="008645FB"/>
    <w:rsid w:val="00871AF7"/>
    <w:rsid w:val="0089061D"/>
    <w:rsid w:val="008B1B84"/>
    <w:rsid w:val="008E2AB1"/>
    <w:rsid w:val="009133DD"/>
    <w:rsid w:val="00916853"/>
    <w:rsid w:val="00984739"/>
    <w:rsid w:val="009919B6"/>
    <w:rsid w:val="009A0DB0"/>
    <w:rsid w:val="00A02FE6"/>
    <w:rsid w:val="00A2625D"/>
    <w:rsid w:val="00A40DCB"/>
    <w:rsid w:val="00AE5E06"/>
    <w:rsid w:val="00B03F35"/>
    <w:rsid w:val="00B05001"/>
    <w:rsid w:val="00B23181"/>
    <w:rsid w:val="00B65066"/>
    <w:rsid w:val="00B67AA5"/>
    <w:rsid w:val="00B77FF5"/>
    <w:rsid w:val="00C36D5F"/>
    <w:rsid w:val="00C6017C"/>
    <w:rsid w:val="00C8135C"/>
    <w:rsid w:val="00CA6E80"/>
    <w:rsid w:val="00D378A1"/>
    <w:rsid w:val="00D41FFB"/>
    <w:rsid w:val="00D64BD5"/>
    <w:rsid w:val="00D73EF1"/>
    <w:rsid w:val="00D81B8C"/>
    <w:rsid w:val="00E52351"/>
    <w:rsid w:val="00E77F0B"/>
    <w:rsid w:val="00E94664"/>
    <w:rsid w:val="00EB3889"/>
    <w:rsid w:val="00EC3D3B"/>
    <w:rsid w:val="00F67DBC"/>
    <w:rsid w:val="00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2167"/>
  <w15:chartTrackingRefBased/>
  <w15:docId w15:val="{83F84D8B-5253-4803-9B6A-6ECF2188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C1F6F"/>
    <w:pPr>
      <w:keepNext/>
      <w:jc w:val="both"/>
      <w:outlineLvl w:val="0"/>
    </w:pPr>
    <w:rPr>
      <w:b/>
      <w:sz w:val="28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5C1F6F"/>
    <w:pPr>
      <w:keepNext/>
      <w:spacing w:before="240" w:after="60"/>
      <w:outlineLvl w:val="1"/>
    </w:pPr>
    <w:rPr>
      <w:b/>
      <w:smallCaps/>
      <w:kern w:val="144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Paragraphe de liste1,List Paragraph1,Liste couleur - Accent 11,Liste couleur - Accent 111,List Paragraph2,Bullets,123 List Paragraph,r2,Paragraphe 2,Numbered List Paragraph,List Paragraph (numbered (a)),U 5,Recommendation"/>
    <w:basedOn w:val="Normal"/>
    <w:link w:val="ParagraphedelisteCar"/>
    <w:uiPriority w:val="34"/>
    <w:qFormat/>
    <w:rsid w:val="007613F9"/>
    <w:pPr>
      <w:ind w:left="720"/>
      <w:contextualSpacing/>
    </w:pPr>
  </w:style>
  <w:style w:type="character" w:customStyle="1" w:styleId="ParagraphedelisteCar">
    <w:name w:val="Paragraphe de liste Car"/>
    <w:aliases w:val="References Car,Paragraphe de liste1 Car,List Paragraph1 Car,Liste couleur - Accent 11 Car,Liste couleur - Accent 111 Car,List Paragraph2 Car,Bullets Car,123 List Paragraph Car,r2 Car,Paragraphe 2 Car,Numbered List Paragraph Car"/>
    <w:link w:val="Paragraphedeliste"/>
    <w:uiPriority w:val="34"/>
    <w:locked/>
    <w:rsid w:val="005C1F6F"/>
  </w:style>
  <w:style w:type="paragraph" w:styleId="Pieddepage">
    <w:name w:val="footer"/>
    <w:basedOn w:val="Normal"/>
    <w:link w:val="PieddepageCar"/>
    <w:rsid w:val="005C1F6F"/>
    <w:pPr>
      <w:tabs>
        <w:tab w:val="center" w:pos="4536"/>
        <w:tab w:val="right" w:pos="9072"/>
      </w:tabs>
    </w:pPr>
    <w:rPr>
      <w:kern w:val="144"/>
      <w:szCs w:val="20"/>
    </w:rPr>
  </w:style>
  <w:style w:type="character" w:customStyle="1" w:styleId="PieddepageCar">
    <w:name w:val="Pied de page Car"/>
    <w:basedOn w:val="Policepardfaut"/>
    <w:link w:val="Pieddepage"/>
    <w:rsid w:val="005C1F6F"/>
    <w:rPr>
      <w:rFonts w:ascii="Times New Roman" w:eastAsia="Times New Roman" w:hAnsi="Times New Roman" w:cs="Times New Roman"/>
      <w:kern w:val="144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5C1F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</w:pPr>
    <w:rPr>
      <w:rFonts w:ascii="Tahoma" w:hAnsi="Tahom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5C1F6F"/>
    <w:rPr>
      <w:rFonts w:ascii="Tahoma" w:eastAsia="Times New Roman" w:hAnsi="Tahoma" w:cs="Times New Roman"/>
      <w:sz w:val="20"/>
      <w:szCs w:val="20"/>
      <w:shd w:val="pct25" w:color="auto" w:fill="FFFFFF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C1F6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C1F6F"/>
  </w:style>
  <w:style w:type="paragraph" w:styleId="Corpsdetexte2">
    <w:name w:val="Body Text 2"/>
    <w:basedOn w:val="Normal"/>
    <w:link w:val="Corpsdetexte2Car"/>
    <w:uiPriority w:val="99"/>
    <w:semiHidden/>
    <w:unhideWhenUsed/>
    <w:rsid w:val="005C1F6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C1F6F"/>
  </w:style>
  <w:style w:type="character" w:customStyle="1" w:styleId="Titre1Car">
    <w:name w:val="Titre 1 Car"/>
    <w:basedOn w:val="Policepardfaut"/>
    <w:link w:val="Titre1"/>
    <w:rsid w:val="005C1F6F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5C1F6F"/>
    <w:rPr>
      <w:rFonts w:ascii="Times New Roman" w:eastAsia="Times New Roman" w:hAnsi="Times New Roman" w:cs="Times New Roman"/>
      <w:b/>
      <w:smallCaps/>
      <w:kern w:val="144"/>
      <w:sz w:val="24"/>
      <w:szCs w:val="20"/>
      <w:u w:val="single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9064E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0027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27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27B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27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27B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E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E13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77F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7FF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5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01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89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83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5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835</Words>
  <Characters>4598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Rachelle</cp:lastModifiedBy>
  <cp:revision>2</cp:revision>
  <dcterms:created xsi:type="dcterms:W3CDTF">2022-04-28T08:24:00Z</dcterms:created>
  <dcterms:modified xsi:type="dcterms:W3CDTF">2022-04-28T08:24:00Z</dcterms:modified>
</cp:coreProperties>
</file>